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8"/>
      </w:tblGrid>
      <w:tr w:rsidR="006E2076">
        <w:trPr>
          <w:trHeight w:val="669"/>
        </w:trPr>
        <w:tc>
          <w:tcPr>
            <w:tcW w:w="9628" w:type="dxa"/>
          </w:tcPr>
          <w:p w:rsidR="006E2076" w:rsidRDefault="006E2076">
            <w:pPr>
              <w:pStyle w:val="Heading1"/>
              <w:rPr>
                <w:rStyle w:val="Strong"/>
                <w:rFonts w:ascii="Calibri" w:hAnsi="Calibri" w:cs="Calibri"/>
                <w:caps w:val="0"/>
              </w:rPr>
            </w:pPr>
            <w:r>
              <w:rPr>
                <w:rStyle w:val="Strong"/>
                <w:rFonts w:ascii="Calibri" w:hAnsi="Calibri" w:cs="Calibri"/>
                <w:caps w:val="0"/>
              </w:rPr>
              <w:t>Casi d’interesse</w:t>
            </w:r>
          </w:p>
          <w:p w:rsidR="006E2076" w:rsidRDefault="006E2076">
            <w:pPr>
              <w:spacing w:after="0" w:line="240" w:lineRule="auto"/>
              <w:rPr>
                <w:rStyle w:val="Strong"/>
                <w:rFonts w:ascii="Calibri" w:hAnsi="Calibri" w:cs="Calibri"/>
                <w:caps/>
                <w:color w:val="3C3C3C"/>
                <w:sz w:val="40"/>
                <w:szCs w:val="4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aps/>
                <w:color w:val="3C3C3C"/>
                <w:sz w:val="40"/>
                <w:szCs w:val="40"/>
              </w:rPr>
              <w:t>Buone pratiche RuralCAMP</w:t>
            </w:r>
            <w:r>
              <w:rPr>
                <w:b/>
                <w:bCs/>
                <w:smallCaps/>
                <w:sz w:val="40"/>
                <w:szCs w:val="40"/>
              </w:rPr>
              <w:t xml:space="preserve"> </w:t>
            </w:r>
            <w:bookmarkStart w:id="0" w:name="_GoBack"/>
            <w:bookmarkEnd w:id="0"/>
          </w:p>
        </w:tc>
      </w:tr>
      <w:tr w:rsidR="006E2076">
        <w:tc>
          <w:tcPr>
            <w:tcW w:w="9628" w:type="dxa"/>
          </w:tcPr>
          <w:p w:rsidR="006E2076" w:rsidRDefault="006E2076">
            <w:pPr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CONSORZIO FORESTALE ALTA VALLE SUSA</w:t>
            </w:r>
          </w:p>
        </w:tc>
      </w:tr>
      <w:tr w:rsidR="006E2076">
        <w:trPr>
          <w:trHeight w:val="620"/>
        </w:trPr>
        <w:tc>
          <w:tcPr>
            <w:tcW w:w="9628" w:type="dxa"/>
            <w:vAlign w:val="center"/>
          </w:tcPr>
          <w:p w:rsidR="006E2076" w:rsidRDefault="006E2076">
            <w:pPr>
              <w:spacing w:after="0" w:line="240" w:lineRule="auto"/>
              <w:rPr>
                <w:rStyle w:val="Strong"/>
                <w:rFonts w:ascii="Calibri" w:hAnsi="Calibri" w:cs="Calibri"/>
                <w:caps/>
                <w:color w:val="3C3C3C"/>
                <w:sz w:val="27"/>
                <w:szCs w:val="27"/>
              </w:rPr>
            </w:pPr>
            <w:r>
              <w:rPr>
                <w:b/>
                <w:bCs/>
                <w:color w:val="C00000"/>
                <w:sz w:val="27"/>
                <w:szCs w:val="27"/>
              </w:rPr>
              <w:t>DESCRIZIONE DEL CASO AZIENDALE</w:t>
            </w:r>
          </w:p>
        </w:tc>
      </w:tr>
      <w:tr w:rsidR="006E2076">
        <w:trPr>
          <w:trHeight w:val="3766"/>
        </w:trPr>
        <w:tc>
          <w:tcPr>
            <w:tcW w:w="9628" w:type="dxa"/>
          </w:tcPr>
          <w:p w:rsidR="006E2076" w:rsidRDefault="006E2076">
            <w:pPr>
              <w:spacing w:after="0" w:line="240" w:lineRule="auto"/>
              <w:jc w:val="both"/>
            </w:pPr>
            <w:r>
              <w:rPr>
                <w:b/>
                <w:bCs/>
                <w:sz w:val="27"/>
                <w:szCs w:val="27"/>
              </w:rPr>
              <w:t xml:space="preserve">Breve storia dell’azienda </w:t>
            </w:r>
          </w:p>
          <w:p w:rsidR="006E2076" w:rsidRDefault="006E2076">
            <w:pPr>
              <w:pStyle w:val="BodyText2"/>
            </w:pPr>
            <w:r>
              <w:t xml:space="preserve">Il Consorzio Forestale Alta Valle Susa, fondato originariamente nel 1953, è stato trasformato dal 1° gennaio 2002 in azienda speciale consortile, regolata dai Comuni soci. </w:t>
            </w:r>
            <w:r>
              <w:br/>
            </w:r>
          </w:p>
          <w:p w:rsidR="006E2076" w:rsidRDefault="006E2076">
            <w:pPr>
              <w:pStyle w:val="BodyText2"/>
              <w:rPr>
                <w:color w:val="000000"/>
                <w:sz w:val="27"/>
                <w:szCs w:val="27"/>
              </w:rPr>
            </w:pPr>
            <w:r>
              <w:t xml:space="preserve">Il Consorzio svolge un pubblico servizio con rilevanza imprenditoriale ed </w:t>
            </w:r>
            <w:r>
              <w:br/>
              <w:t xml:space="preserve"> è composto, a partire dal 1 gennaio 2005, da 14 Comuni appartenenti alla Comunità Montana Alta Valle Susa e precisamente: Giaglione, Gravere, Chiomonte, Exilles, Salbertrand, Oulx, Bardonecchia, Sauze d’Oulx, Cesana Torinese, Claviere, Sestriere, Sauze di Cesana, Meana di Susa e Moncenisio.</w:t>
            </w:r>
            <w:r>
              <w:br/>
              <w:t>Il territorio coincide parzialmente con le due Unioni dei Comuni Montani (Unione Montana Comuni Olimpici Via Lattea e Unione Montana Alta Valle Susa), istituite nell’ex territorio della Comunità Montana Alta Valle Susa, rimanendo escluso dal Consorzio il Comune di Pragelato.</w:t>
            </w:r>
          </w:p>
        </w:tc>
      </w:tr>
      <w:tr w:rsidR="006E2076">
        <w:trPr>
          <w:trHeight w:val="7553"/>
        </w:trPr>
        <w:tc>
          <w:tcPr>
            <w:tcW w:w="9628" w:type="dxa"/>
          </w:tcPr>
          <w:p w:rsidR="006E2076" w:rsidRDefault="006E2076">
            <w:pPr>
              <w:spacing w:after="0" w:line="240" w:lineRule="auto"/>
              <w:jc w:val="both"/>
            </w:pPr>
            <w:r>
              <w:rPr>
                <w:b/>
                <w:bCs/>
                <w:sz w:val="27"/>
                <w:szCs w:val="27"/>
              </w:rPr>
              <w:t xml:space="preserve">Produzione e commercializzazione prodotti </w:t>
            </w:r>
          </w:p>
          <w:p w:rsidR="006E2076" w:rsidRDefault="006E2076">
            <w:pPr>
              <w:spacing w:after="240" w:line="240" w:lineRule="auto"/>
              <w:rPr>
                <w:rFonts w:ascii="Arial Unicode MS" w:eastAsia="Arial Unicode MS" w:hAnsi="Arial Unicode MS"/>
                <w:sz w:val="24"/>
                <w:szCs w:val="24"/>
                <w:lang w:eastAsia="it-IT"/>
              </w:rPr>
            </w:pPr>
            <w:r>
              <w:t>Fini e attività consortili:</w:t>
            </w:r>
          </w:p>
          <w:p w:rsidR="006E2076" w:rsidRDefault="006E207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Strong"/>
                <w:rFonts w:ascii="Calibri" w:hAnsi="Calibri" w:cs="Calibri"/>
              </w:rPr>
              <w:t>Gestione proprietà silvo-forestali comunali</w:t>
            </w:r>
            <w:r>
              <w:br/>
              <w:t>redazione ed aggiornamento piani d’assestamento delle proprietà forestali comunali, esecuzioni di operazioni selvicolturali a macchiatici positivo e negativo</w:t>
            </w:r>
          </w:p>
          <w:p w:rsidR="006E2076" w:rsidRDefault="006E207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Strong"/>
                <w:rFonts w:ascii="Calibri" w:hAnsi="Calibri" w:cs="Calibri"/>
              </w:rPr>
              <w:t>sistemazione bacini montani</w:t>
            </w:r>
            <w:r>
              <w:br/>
              <w:t>monitoraggio delle opere idrauliche esistenti, aggiornamento schede descrittive, compilazioni piani di bacino</w:t>
            </w:r>
          </w:p>
          <w:p w:rsidR="006E2076" w:rsidRDefault="006E207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Strong"/>
                <w:rFonts w:ascii="Calibri" w:hAnsi="Calibri" w:cs="Calibri"/>
              </w:rPr>
              <w:t>Cantieri Forestali e squadre lavori</w:t>
            </w:r>
            <w:r>
              <w:br/>
              <w:t xml:space="preserve">realizzazione di interventi di diradamento, rimboschimento e di cure colturali, realizzazione i interventi di sistemazione idraulico forestale, interventi di manutenzione ordinaria del territorio, ogni altro intervento di interesse per i comuni consorziati </w:t>
            </w:r>
          </w:p>
          <w:p w:rsidR="006E2076" w:rsidRDefault="006E20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rStyle w:val="Strong"/>
                <w:rFonts w:ascii="Calibri" w:hAnsi="Calibri" w:cs="Calibri"/>
              </w:rPr>
              <w:t>prestazioni tecniche</w:t>
            </w:r>
            <w:r>
              <w:br/>
              <w:t xml:space="preserve">Redazione di progetti di sistemazione idraulico forestale, viabilità, strutture d’alpe, ed ogni altro intervento progettuale richiesto dai comuni consorziati. </w:t>
            </w:r>
          </w:p>
          <w:p w:rsidR="006E2076" w:rsidRDefault="006E2076">
            <w:pPr>
              <w:numPr>
                <w:ilvl w:val="0"/>
                <w:numId w:val="1"/>
              </w:numPr>
              <w:spacing w:after="0"/>
              <w:ind w:left="714" w:hanging="357"/>
              <w:rPr>
                <w:rStyle w:val="Strong"/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Style w:val="Strong"/>
                <w:rFonts w:ascii="Calibri" w:hAnsi="Calibri" w:cs="Calibri"/>
              </w:rPr>
              <w:t xml:space="preserve">Attività istituzionali </w:t>
            </w:r>
          </w:p>
          <w:p w:rsidR="006E2076" w:rsidRDefault="006E2076">
            <w:pPr>
              <w:pStyle w:val="ListParagraph"/>
              <w:spacing w:after="0"/>
              <w:rPr>
                <w:i/>
                <w:iCs/>
              </w:rPr>
            </w:pPr>
            <w:r>
              <w:t>Accanto alle attività oggetto di evidenza economica, attraverso fatturazione delle prestazioni, il CFAVS, conserva un numero elevatissimo di attività svolte a titolo istituzionale in favore dei comuni. Tali attività si esprimono attraverso consulenze, verifiche delle proprietà silvo-pastorali, controllo e vigilanza delle proprietà e del’ambiente, relazioni tecniche svolte a titolo gratuito, studi di fattibilità, reperimento finanziamento, didattica ed assistenza alla popolazione ed alle scuole, ed ogni altra azione svolta dal CFAVS a titolo non oneroso nei confronti delle amministrazioni locali.</w:t>
            </w:r>
          </w:p>
        </w:tc>
      </w:tr>
      <w:tr w:rsidR="006E2076">
        <w:trPr>
          <w:trHeight w:val="1437"/>
        </w:trPr>
        <w:tc>
          <w:tcPr>
            <w:tcW w:w="9628" w:type="dxa"/>
          </w:tcPr>
          <w:p w:rsidR="006E2076" w:rsidRDefault="006E2076">
            <w:pPr>
              <w:spacing w:after="0" w:line="240" w:lineRule="auto"/>
              <w:jc w:val="both"/>
            </w:pPr>
            <w:r>
              <w:rPr>
                <w:b/>
                <w:bCs/>
                <w:sz w:val="27"/>
                <w:szCs w:val="27"/>
              </w:rPr>
              <w:t xml:space="preserve">Attività connesse all’agricoltura </w:t>
            </w:r>
          </w:p>
          <w:p w:rsidR="006E2076" w:rsidRDefault="006E2076">
            <w:pPr>
              <w:spacing w:after="0" w:line="240" w:lineRule="auto"/>
              <w:jc w:val="both"/>
            </w:pPr>
          </w:p>
          <w:p w:rsidR="006E2076" w:rsidRDefault="006E2076">
            <w:pPr>
              <w:spacing w:after="0" w:line="240" w:lineRule="auto"/>
              <w:jc w:val="both"/>
              <w:rPr>
                <w:i/>
                <w:iCs/>
              </w:rPr>
            </w:pPr>
            <w:r>
              <w:t>Gestione pastorale (piani pastorali)</w:t>
            </w:r>
          </w:p>
        </w:tc>
      </w:tr>
      <w:tr w:rsidR="006E2076">
        <w:trPr>
          <w:trHeight w:val="2058"/>
        </w:trPr>
        <w:tc>
          <w:tcPr>
            <w:tcW w:w="9628" w:type="dxa"/>
          </w:tcPr>
          <w:p w:rsidR="006E2076" w:rsidRDefault="006E2076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Sostegno Psr</w:t>
            </w:r>
          </w:p>
          <w:p w:rsidR="006E2076" w:rsidRDefault="006E2076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E2076" w:rsidRDefault="006E2076">
            <w:pPr>
              <w:pStyle w:val="Heading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caps w:val="0"/>
                <w:color w:val="auto"/>
                <w:sz w:val="24"/>
                <w:szCs w:val="24"/>
              </w:rPr>
              <w:t>Operazione 16.1.1 - Costituzione, gestione e operatività dei gruppi operativi dei PEI</w:t>
            </w:r>
            <w:r>
              <w:rPr>
                <w:sz w:val="24"/>
                <w:szCs w:val="24"/>
              </w:rPr>
              <w:t xml:space="preserve"> </w:t>
            </w:r>
          </w:p>
          <w:p w:rsidR="006E2076" w:rsidRDefault="006E2076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Operazione 12.2.1 - Compensazione del mancato reddito e dei costi aggiuntivi da vincoli ambientali nelle aree forestali dei siti Natura 2000</w:t>
            </w:r>
          </w:p>
        </w:tc>
      </w:tr>
      <w:tr w:rsidR="006E2076">
        <w:trPr>
          <w:trHeight w:val="1069"/>
        </w:trPr>
        <w:tc>
          <w:tcPr>
            <w:tcW w:w="9628" w:type="dxa"/>
          </w:tcPr>
          <w:p w:rsidR="006E2076" w:rsidRDefault="006E2076">
            <w:pPr>
              <w:spacing w:after="0" w:line="240" w:lineRule="auto"/>
            </w:pPr>
            <w:r>
              <w:rPr>
                <w:b/>
                <w:bCs/>
                <w:sz w:val="27"/>
                <w:szCs w:val="27"/>
              </w:rPr>
              <w:t xml:space="preserve">Altro </w:t>
            </w:r>
          </w:p>
          <w:p w:rsidR="006E2076" w:rsidRDefault="006E2076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6E2076">
        <w:trPr>
          <w:trHeight w:val="1555"/>
        </w:trPr>
        <w:tc>
          <w:tcPr>
            <w:tcW w:w="9628" w:type="dxa"/>
          </w:tcPr>
          <w:p w:rsidR="006E2076" w:rsidRDefault="006E2076">
            <w:pPr>
              <w:spacing w:after="0" w:line="240" w:lineRule="auto"/>
              <w:rPr>
                <w:b/>
                <w:bCs/>
                <w:caps/>
                <w:sz w:val="27"/>
                <w:szCs w:val="27"/>
              </w:rPr>
            </w:pPr>
            <w:r>
              <w:rPr>
                <w:b/>
                <w:bCs/>
                <w:caps/>
                <w:sz w:val="27"/>
                <w:szCs w:val="27"/>
              </w:rPr>
              <w:t>NOME AZIENDA</w:t>
            </w:r>
          </w:p>
          <w:p w:rsidR="006E2076" w:rsidRDefault="006E2076">
            <w:pPr>
              <w:spacing w:after="0" w:line="240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rStyle w:val="Strong"/>
                <w:rFonts w:ascii="Calibri" w:hAnsi="Calibri" w:cs="Calibri"/>
                <w:sz w:val="24"/>
                <w:szCs w:val="24"/>
              </w:rPr>
              <w:t>Consorzio Forestale Alta Val di Susa</w:t>
            </w:r>
            <w:r>
              <w:rPr>
                <w:sz w:val="24"/>
                <w:szCs w:val="24"/>
              </w:rPr>
              <w:br/>
              <w:t>Via Pellousiere, 6 - 10056 Oulx (TO)</w:t>
            </w:r>
            <w:r>
              <w:rPr>
                <w:sz w:val="24"/>
                <w:szCs w:val="24"/>
              </w:rPr>
              <w:br/>
            </w:r>
            <w:hyperlink r:id="rId5" w:tooltip="www.cfavs.it" w:history="1">
              <w:r>
                <w:rPr>
                  <w:rStyle w:val="Hyperlink"/>
                  <w:sz w:val="24"/>
                  <w:szCs w:val="24"/>
                </w:rPr>
                <w:t>www.cfavs.it</w:t>
              </w:r>
            </w:hyperlink>
          </w:p>
        </w:tc>
      </w:tr>
      <w:tr w:rsidR="006E2076">
        <w:trPr>
          <w:trHeight w:val="669"/>
        </w:trPr>
        <w:tc>
          <w:tcPr>
            <w:tcW w:w="9628" w:type="dxa"/>
          </w:tcPr>
          <w:p w:rsidR="006E2076" w:rsidRDefault="006E2076">
            <w:pPr>
              <w:spacing w:after="0" w:line="240" w:lineRule="auto"/>
              <w:rPr>
                <w:b/>
                <w:bCs/>
                <w:caps/>
                <w:sz w:val="27"/>
                <w:szCs w:val="27"/>
              </w:rPr>
            </w:pPr>
            <w:r>
              <w:rPr>
                <w:b/>
                <w:bCs/>
                <w:caps/>
                <w:sz w:val="27"/>
                <w:szCs w:val="27"/>
              </w:rPr>
              <w:t>FOTO</w:t>
            </w:r>
          </w:p>
          <w:p w:rsidR="006E2076" w:rsidRDefault="006E2076">
            <w:pPr>
              <w:spacing w:after="0" w:line="240" w:lineRule="auto"/>
              <w:rPr>
                <w:b/>
                <w:bCs/>
                <w:caps/>
                <w:sz w:val="27"/>
                <w:szCs w:val="27"/>
              </w:rPr>
            </w:pPr>
          </w:p>
        </w:tc>
      </w:tr>
    </w:tbl>
    <w:p w:rsidR="006E2076" w:rsidRDefault="006E2076">
      <w:pPr>
        <w:spacing w:after="0" w:line="240" w:lineRule="auto"/>
      </w:pPr>
    </w:p>
    <w:sectPr w:rsidR="006E2076" w:rsidSect="006E207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0C69"/>
    <w:multiLevelType w:val="hybridMultilevel"/>
    <w:tmpl w:val="BA667F3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CD507AC"/>
    <w:multiLevelType w:val="hybridMultilevel"/>
    <w:tmpl w:val="1C9E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F110F1"/>
    <w:multiLevelType w:val="hybridMultilevel"/>
    <w:tmpl w:val="61546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431975"/>
    <w:multiLevelType w:val="hybridMultilevel"/>
    <w:tmpl w:val="A0C6690E"/>
    <w:lvl w:ilvl="0" w:tplc="C0BC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4C6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AE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EE7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46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2E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64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E3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C3DCF"/>
    <w:multiLevelType w:val="hybridMultilevel"/>
    <w:tmpl w:val="F2EAC65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076"/>
    <w:rsid w:val="006E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outlineLvl w:val="0"/>
    </w:pPr>
    <w:rPr>
      <w:caps/>
      <w:color w:val="3C3C3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07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07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CollegamentoInternet">
    <w:name w:val="Collegamento Internet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character" w:customStyle="1" w:styleId="g2">
    <w:name w:val="g2"/>
    <w:basedOn w:val="DefaultParagraphFont"/>
    <w:uiPriority w:val="99"/>
    <w:rPr>
      <w:rFonts w:ascii="Times New Roman" w:hAnsi="Times New Roman" w:cs="Times New Roman"/>
    </w:rPr>
  </w:style>
  <w:style w:type="character" w:customStyle="1" w:styleId="gi">
    <w:name w:val="gi"/>
    <w:basedOn w:val="DefaultParagraphFont"/>
    <w:uiPriority w:val="9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Title">
    <w:name w:val="Title"/>
    <w:basedOn w:val="Normal"/>
    <w:next w:val="BodyText"/>
    <w:link w:val="TitleChar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E207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2076"/>
    <w:rPr>
      <w:rFonts w:ascii="Calibri" w:hAnsi="Calibri" w:cs="Calibri"/>
      <w:lang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2076"/>
    <w:rPr>
      <w:rFonts w:ascii="Calibri" w:hAnsi="Calibri" w:cs="Calibri"/>
      <w:lang w:eastAsia="en-US"/>
    </w:rPr>
  </w:style>
  <w:style w:type="character" w:customStyle="1" w:styleId="fieldfield--name-titlefield--type-stringfield--label-hidden">
    <w:name w:val="field field--name-title field--type-string field--label-hidden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fav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192</Words>
  <Characters>1096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 d’interesse</dc:title>
  <dc:subject/>
  <dc:creator>Lionetti Paola</dc:creator>
  <cp:keywords/>
  <dc:description/>
  <cp:lastModifiedBy>Settore Sistemi Informativi</cp:lastModifiedBy>
  <cp:revision>8</cp:revision>
  <dcterms:created xsi:type="dcterms:W3CDTF">2019-10-17T10:17:00Z</dcterms:created>
  <dcterms:modified xsi:type="dcterms:W3CDTF">2019-10-17T11:43:00Z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